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51263" w14:textId="49B9B80E" w:rsidR="00EE6EFA" w:rsidRDefault="00A047DC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C84C14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30791D45" w14:textId="33C24FC0" w:rsidR="00C84C14" w:rsidRPr="00EA0EA5" w:rsidRDefault="00C84C14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832D63" w14:paraId="19EC825E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705EAA" w14:textId="77777777" w:rsidR="00EA0EA5" w:rsidRPr="00832D63" w:rsidRDefault="00EA0EA5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EA0EA5" w:rsidRPr="00832D63" w14:paraId="7DC6CB4F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0520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603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FB00A43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91C8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77B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EA0EA5" w:rsidRPr="00832D63" w14:paraId="1F900002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65F7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5BFE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EA0EA5" w:rsidRPr="00832D63" w14:paraId="4CEF93E5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134E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9B9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EA0EA5" w:rsidRPr="00832D63" w14:paraId="7062B461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A045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601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714F866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DC5C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7748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EA0EA5" w:rsidRPr="00832D63" w14:paraId="6294D719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229D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EC4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30CC861" w14:textId="77777777" w:rsidR="00EA0EA5" w:rsidRDefault="00EA0EA5" w:rsidP="00EA0EA5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7978C3" w14:paraId="31E2BD92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1C6FF31A" w14:textId="77777777" w:rsidR="00EA0EA5" w:rsidRPr="007978C3" w:rsidRDefault="00EA0EA5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DCDF954" w14:textId="77777777" w:rsidR="00EA0EA5" w:rsidRPr="007978C3" w:rsidRDefault="00EA0EA5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EA0EA5" w:rsidRPr="005777B2" w14:paraId="098172B6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4A67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262C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5777B2" w14:paraId="4591CC1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2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9656ED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2F1919" w14:paraId="5FE30D72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64D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39E3BF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EA0EA5" w:rsidRPr="007978C3" w14:paraId="67D62E29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C0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C2DA5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D9FD5B4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EA0EA5" w:rsidRPr="007978C3" w14:paraId="7BA5F85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B795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09D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7978C3" w14:paraId="0F4A053E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8AF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785A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7A540A99" w14:textId="2E00F9AF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6778B68" w14:textId="77777777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8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18"/>
        <w:gridCol w:w="433"/>
        <w:gridCol w:w="474"/>
        <w:gridCol w:w="559"/>
        <w:gridCol w:w="2255"/>
        <w:gridCol w:w="1407"/>
      </w:tblGrid>
      <w:tr w:rsidR="00A047DC" w:rsidRPr="00A047DC" w14:paraId="05ACBCB2" w14:textId="77777777" w:rsidTr="004E64CA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E1B86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8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10D8F8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66" w:type="dxa"/>
            <w:gridSpan w:val="3"/>
            <w:tcMar>
              <w:left w:w="57" w:type="dxa"/>
              <w:right w:w="57" w:type="dxa"/>
            </w:tcMar>
            <w:vAlign w:val="center"/>
          </w:tcPr>
          <w:p w14:paraId="749ADA5B" w14:textId="2EF53CB8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5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443F338" w14:textId="2F6C9B9E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0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D669F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Note</w:t>
            </w:r>
          </w:p>
        </w:tc>
      </w:tr>
      <w:tr w:rsidR="00A047DC" w:rsidRPr="00A047DC" w14:paraId="35F15FCA" w14:textId="77777777" w:rsidTr="004E64CA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01DFE4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18" w:type="dxa"/>
            <w:vMerge/>
            <w:tcMar>
              <w:left w:w="57" w:type="dxa"/>
              <w:right w:w="57" w:type="dxa"/>
            </w:tcMar>
          </w:tcPr>
          <w:p w14:paraId="0558417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5D55625" w14:textId="17FDB321" w:rsidR="00A047DC" w:rsidRPr="00A047DC" w:rsidRDefault="00A047DC" w:rsidP="00A047DC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SI</w:t>
            </w:r>
          </w:p>
        </w:tc>
        <w:tc>
          <w:tcPr>
            <w:tcW w:w="474" w:type="dxa"/>
            <w:tcMar>
              <w:left w:w="57" w:type="dxa"/>
              <w:right w:w="57" w:type="dxa"/>
            </w:tcMar>
          </w:tcPr>
          <w:p w14:paraId="04568BF9" w14:textId="7361F7C9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7447F14" w14:textId="4BBEA500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N.A.</w:t>
            </w:r>
          </w:p>
        </w:tc>
        <w:tc>
          <w:tcPr>
            <w:tcW w:w="2255" w:type="dxa"/>
            <w:vMerge/>
            <w:tcMar>
              <w:left w:w="57" w:type="dxa"/>
              <w:right w:w="57" w:type="dxa"/>
            </w:tcMar>
          </w:tcPr>
          <w:p w14:paraId="69CBD32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vMerge/>
            <w:tcMar>
              <w:left w:w="57" w:type="dxa"/>
              <w:right w:w="57" w:type="dxa"/>
            </w:tcMar>
          </w:tcPr>
          <w:p w14:paraId="4B7080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A5A53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ECFAB7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1. Presupposti</w:t>
            </w:r>
          </w:p>
          <w:p w14:paraId="0FF1D3EB" w14:textId="79422355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1.1. La procedura è stata attivata in presenza di una delle fattispecie previste? (indicare la casistica</w:t>
            </w:r>
            <w:r w:rsidR="00C84C14">
              <w:rPr>
                <w:rFonts w:ascii="Garamond" w:hAnsi="Garamond"/>
              </w:rPr>
              <w:t xml:space="preserve"> nella corrispondente cella Note</w:t>
            </w:r>
            <w:r w:rsidRPr="00A047DC">
              <w:rPr>
                <w:rFonts w:ascii="Garamond" w:hAnsi="Garamond"/>
              </w:rPr>
              <w:t>)</w:t>
            </w:r>
          </w:p>
          <w:p w14:paraId="12B4E67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a)</w:t>
            </w:r>
            <w:r w:rsidRPr="00A047DC">
              <w:rPr>
                <w:rFonts w:ascii="Garamond" w:hAnsi="Garamond"/>
              </w:rPr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6EE8682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b)</w:t>
            </w:r>
            <w:r w:rsidRPr="00A047DC">
              <w:rPr>
                <w:rFonts w:ascii="Garamond" w:hAnsi="Garamond"/>
              </w:rPr>
              <w:t xml:space="preserve"> quando i lavori, le forniture o i servizi possono essere forniti unicamente da un determinato operatore economico per una delle seguenti ragioni:</w:t>
            </w:r>
          </w:p>
          <w:p w14:paraId="64F1565F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1) lo scopo dell'appalto consiste nella creazione o nell'acquisizione di un'opera d'arte o rappresentazione artistica unica;</w:t>
            </w:r>
          </w:p>
          <w:p w14:paraId="198B540E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la concorrenza è assente per motivi tecnici (N.B. solo quando non esistono altri operatori economici o soluzioni alternative ragionevoli e l'assenza di concorrenza non è il risultato di una limitazione artificiale dei parametri dell'appalto);</w:t>
            </w:r>
          </w:p>
          <w:p w14:paraId="112452E3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la tutela di diritti esclusivi, inclusi i diritti di proprietà intellettuale (N.B. solo quando non esistono altri operatori economici o soluzioni alternative ragionevoli e l'assenza di concorrenza non è il risultato di una limitazione artificiale dei parametri dell'appalto);</w:t>
            </w:r>
          </w:p>
          <w:p w14:paraId="60C8F08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c)</w:t>
            </w:r>
            <w:r w:rsidRPr="00A047DC">
              <w:rPr>
                <w:rFonts w:ascii="Garamond" w:hAnsi="Garamond"/>
              </w:rPr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62DE18B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d)</w:t>
            </w:r>
            <w:r w:rsidRPr="00A047DC">
              <w:rPr>
                <w:rFonts w:ascii="Garamond" w:hAnsi="Garamond"/>
              </w:rPr>
              <w:t xml:space="preserve"> nel solo caso di appalti pubblici di forniture è inoltre consentita:</w:t>
            </w:r>
          </w:p>
          <w:p w14:paraId="7D66646A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1) quando i prodotti oggetto dell'appalto siano fabbricati 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C272B18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65AD29D5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per forniture quotate e acquistate sul mercato delle materie prime;</w:t>
            </w:r>
          </w:p>
          <w:p w14:paraId="667CEDB9" w14:textId="1AA31C20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4) per l'acquisto di forniture o servizi a condizioni particolarmente vantaggiose, da un fornitore che cessa definitivamente l'attività commerciale oppure dagli organi delle procedure concorsuali;</w:t>
            </w:r>
          </w:p>
          <w:p w14:paraId="09A0C101" w14:textId="66BD9A0B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e)</w:t>
            </w:r>
            <w:r w:rsidRPr="00A047DC">
              <w:rPr>
                <w:rFonts w:ascii="Garamond" w:hAnsi="Garamond"/>
              </w:rPr>
              <w:t xml:space="preserve"> nel solo caso di appalti pubblici relativi ai servizi, anche quando l'appalto faccia seguito a un concorso di progettazione e debba, in base alle norme applicabili, essere aggiudicato al vincitore o a uno dei vincitori del concorso (N.B. in quest'ultimo caso, tutti i vincitori devono essere invitati a partecipare ai negoziati);</w:t>
            </w:r>
          </w:p>
          <w:p w14:paraId="28002DBA" w14:textId="3EE592D1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f)</w:t>
            </w:r>
            <w:r w:rsidRPr="00A047DC">
              <w:rPr>
                <w:rFonts w:ascii="Garamond" w:hAnsi="Garamond"/>
              </w:rPr>
              <w:t xml:space="preserve"> per nuovi lavori o nuovi servizi consistenti nella ripetizione di lavori o servizi analoghi, già affidati all'operatore economico aggiudicatario dell'appalto iniziale dalle medesime stazioni appaltanti, a condizione che tali lavori o servizi siano conformi al progetto a base di gara e che tale progetto sia stato oggetto di un primo appalto aggiudicato secondo una </w:t>
            </w:r>
            <w:r w:rsidRPr="00A047DC">
              <w:rPr>
                <w:rFonts w:ascii="Garamond" w:hAnsi="Garamond"/>
              </w:rPr>
              <w:lastRenderedPageBreak/>
              <w:t>procedura aperta, ristretta, competitiva con negoziazione, dialogo competitivo o partenariato per l'innovazione (N.B.: il progetto a base di gara indica l'entità di eventuali lavori o servizi complementari e le condizioni alle quali essi verranno aggiudicati. La possibilità di avvalersi della procedura negoziata senza bando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14, comma 1. Il ricorso a questa procedura è limitato al triennio successivo alla stipulazione del contratto di appalto iniziale).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9E703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Art. 76, commi 2-6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E7B31A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5A0368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358BD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2DCC2E" w14:textId="73B7CCB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2FEF7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0B1B8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646D6EC" w14:textId="788DC5CE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1.2. </w:t>
            </w:r>
            <w:r w:rsidR="00A047DC" w:rsidRPr="00A047DC">
              <w:rPr>
                <w:rFonts w:ascii="Garamond" w:hAnsi="Garamond"/>
              </w:rPr>
              <w:t>La stazione appaltante, nel primo atto della procedura, ha indicato i presupposti per l’attivazione della procedura e ha motivato il ricorso ad essa in relazione alla specifica situazione di fatto e alle caratteristiche dei mercati potenzialmente interessati e delle dinamiche che li caratterizzano?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B005C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D9BE3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3E191B2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E750A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1631C8C" w14:textId="3A422DE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24AF5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397A2D2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CFA610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2. Consultazioni preliminari di mercato</w:t>
            </w:r>
          </w:p>
          <w:p w14:paraId="3C69784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53805C0" w14:textId="39C86B7A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Art. 76, commi 1 e </w:t>
            </w:r>
            <w:r w:rsidR="00A047DC" w:rsidRPr="00A047DC">
              <w:rPr>
                <w:rFonts w:ascii="Garamond" w:hAnsi="Garamond"/>
              </w:rPr>
              <w:t>7</w:t>
            </w:r>
          </w:p>
          <w:p w14:paraId="414154F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2647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4C80CA6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5D5E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27FCCC7" w14:textId="200D114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DFCBB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CE07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B4E1C9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 w14:paraId="5EACBA6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reso parte, a monte, alla consultazione preliminare di mercato?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78F06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commi 1 e 7</w:t>
            </w:r>
          </w:p>
          <w:p w14:paraId="71AC064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F7977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16A7378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C7532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1E0F1ED" w14:textId="08F224A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DADC7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8CE54C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11F6E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3. Selezione degli operatori economici</w:t>
            </w:r>
          </w:p>
          <w:p w14:paraId="093A729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3.1. La stazione appaltante ha individuato gli operatori economici da consultare sulla base di informazioni riguardanti le caratteristiche di qualificazione economica e finanziaria e tecniche e professionali desunte dal mercato, nel rispetto dei principi di trasparenza e concorrenza?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24A9679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27B595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E86DE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42831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11FB0C7" w14:textId="470FC698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CDAF6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20563A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E978B7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3.2. La stazione appaltante ha selezionato almeno tre operatori economici, se sussistono in tale numero soggetti idonei?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CE5C6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5BAAA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2FAE3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E3C42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526834E" w14:textId="69AB18D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1883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E3060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3AF6D4" w14:textId="6C16918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A047DC" w:rsidRPr="00A047DC">
              <w:rPr>
                <w:rFonts w:ascii="Garamond" w:hAnsi="Garamond"/>
                <w:b/>
              </w:rPr>
              <w:t>. Documenti di gara</w:t>
            </w:r>
          </w:p>
          <w:p w14:paraId="2B96EC0F" w14:textId="31BA014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4</w:t>
            </w:r>
            <w:r w:rsidR="00A047DC" w:rsidRPr="00A047DC">
              <w:rPr>
                <w:rFonts w:ascii="Garamond" w:hAnsi="Garamond"/>
              </w:rPr>
              <w:t>.1. Sono presenti la lettera d’invito (o comunque l’atto di consultazione e invito a offrire dell’operatore economico), il disciplinare di gara e il capitolato speciale e le condizioni contrattuali proposte?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7EABAD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630E97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  <w:p w14:paraId="41CBA2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lastRenderedPageBreak/>
              <w:t>Art. 82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C289E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F13C6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4F98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D543CDA" w14:textId="6D4536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3AF808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CB1692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66AF07F" w14:textId="6DC646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.2. 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F98E33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83</w:t>
            </w:r>
          </w:p>
          <w:p w14:paraId="3751C63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II.6</w:t>
            </w:r>
          </w:p>
          <w:p w14:paraId="572D206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4066F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C3B81F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D0229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6BA9B8C" w14:textId="6FACEB6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EE1BE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BB80F2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532AA77" w14:textId="234902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3C246F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F2919E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0ED5DA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977D2F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6D32773" w14:textId="1B57FC5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D9D6F0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7DC1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F2AB8FE" w14:textId="022A6989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La stazione appaltante ha invitato simultaneamente e per iscritto, attraverso le piattaforme di approvvigionamento digitale, i candidati selezionati a presentare le rispettive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507AFF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2F70381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29C850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698BA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94E451A" w14:textId="24E6481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ABDDD1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0278F2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422B691" w14:textId="3D2C94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2C2C7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56EFF4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CC32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7E18E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E4465CA" w14:textId="392051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101E1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9E5C59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06F0B7D" w14:textId="03E62D96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A047DC" w:rsidRPr="00A047DC">
              <w:rPr>
                <w:rFonts w:ascii="Garamond" w:hAnsi="Garamond"/>
                <w:b/>
              </w:rPr>
              <w:t>. Domande di partecipazione e offerte (compatibilmente con la natura della procedura)</w:t>
            </w:r>
          </w:p>
          <w:p w14:paraId="2F1895F9" w14:textId="42D5DB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5D3E49F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a) la domanda di partecipazione;</w:t>
            </w:r>
          </w:p>
          <w:p w14:paraId="39A7B69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b) il documento di gara unico europeo;</w:t>
            </w:r>
          </w:p>
          <w:p w14:paraId="7215558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c) l'offerta;</w:t>
            </w:r>
          </w:p>
          <w:p w14:paraId="377E7070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8AC374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1D085C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047887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7C0C14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7A973AB" w14:textId="5E5B1851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AC7466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1CCBAF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EDA5E0A" w14:textId="32FF14C0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.2. Il termine fissato per la ricezione delle domande e delle offerte, comprese eventuali proroghe o deroghe,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A568F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5C0BB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1C95AE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FB441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DE4D4EB" w14:textId="68C2AE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EC90B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F86EA0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62DB660" w14:textId="4E5AB69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in conformità ai tempi prescritti</w:t>
            </w:r>
            <w:r w:rsidR="00A047DC" w:rsidRPr="00A047DC">
              <w:rPr>
                <w:rFonts w:ascii="Garamond" w:hAnsi="Garamond"/>
              </w:rPr>
              <w:t>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2BA6B8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4BAD32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94EAB5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9D4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E448911" w14:textId="114C066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4B3D9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54073E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C523A47" w14:textId="1F570CF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992A5F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70, comma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F5A4FB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FC11D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1E1C3D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FC7307D" w14:textId="447B1B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9BF63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19F5034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ABC819" w14:textId="15FA3B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D285D1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0883ED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4B4AAA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34D0B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5E02901" w14:textId="0D2302F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91F63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162FF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7D4CBE2" w14:textId="5C72B47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9E73A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94, 95, 97, 98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EC752E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2D40C0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DBF8EB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FC4AA0E" w14:textId="6C37A4F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6BCCD2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6D9660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23C2EA3" w14:textId="4548152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9D61DB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63F1B72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E5C225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2DAE5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E0CCB10" w14:textId="28D1C76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BD71F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61C898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2C0145" w14:textId="7E3AF275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 È stata operata la verifica sui requisiti di ordine generale?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C398F0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730ED0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F5B4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3BABC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B017477" w14:textId="72A1475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1DDD40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D5282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FD4F096" w14:textId="2B75A61B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 È stata operata la verifica sui requisiti di ordine speciale?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671E7DB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7CA8D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7A62E3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FB42E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0B3CE3C" w14:textId="7C39C7D5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CFBA76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8D756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69E3ED" w14:textId="47149A6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0</w:t>
            </w:r>
            <w:r w:rsidR="00A047DC" w:rsidRPr="00A047DC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659F71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6991E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9FC8D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DEEBA1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10E8B74" w14:textId="4E70F18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08C0C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EB1EB1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18042B7" w14:textId="0D4C7B9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1</w:t>
            </w:r>
            <w:r w:rsidR="00A047DC" w:rsidRPr="00A047DC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08C29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106 e 117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C2E024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7DB3B3A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D78226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C198B8F" w14:textId="48DE268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0BCC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7372C2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085171" w14:textId="0875AD9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2</w:t>
            </w:r>
            <w:r w:rsidR="00A047DC" w:rsidRPr="00A047DC">
              <w:rPr>
                <w:rFonts w:ascii="Garamond" w:hAnsi="Garamond"/>
              </w:rPr>
              <w:t>. È stata regolarmente svolta la verifica sulle offerte anomale?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293C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013715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08B80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C7D344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4F0129E" w14:textId="0A3F61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906DC1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159C9F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AA6BAB8" w14:textId="4ADE861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.Sono state comunicate ammissioni ed esclusioni?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55FC9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2C7D4D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B4E0D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2683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3E227C" w14:textId="2A4A8D96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5BDE7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D5CA0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A5D9CD" w14:textId="4C229668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A047DC" w:rsidRPr="00A047DC">
              <w:rPr>
                <w:rFonts w:ascii="Garamond" w:hAnsi="Garamond"/>
                <w:b/>
              </w:rPr>
              <w:t>. Commissione giudicatrice e seggio di gara</w:t>
            </w:r>
          </w:p>
          <w:p w14:paraId="31A17BD8" w14:textId="688DAAC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B18E1E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49F9CA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866D57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8D415F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A4AB4C7" w14:textId="2590387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F05E9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6E3FEA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7374BE1" w14:textId="50E2B6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F66C3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473E56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13B8FA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47CAE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D3543AB" w14:textId="6B5A5B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F71AC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A1E56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3ADB9D1" w14:textId="09B26EFD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ABE5CA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3F4F7F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96A690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0F691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7DA7AC7" w14:textId="3E48FBF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3A5044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EEAE7E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9EB1A9A" w14:textId="67D668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B6872E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0C72B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5A93E2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8CC7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599A0CF" w14:textId="5E3183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1BB063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DCE1A9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CEE33A" w14:textId="206F2B94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A047DC" w:rsidRPr="00A047DC">
              <w:rPr>
                <w:rFonts w:ascii="Garamond" w:hAnsi="Garamond"/>
                <w:b/>
              </w:rPr>
              <w:t>. Criterio di aggiudicazione</w:t>
            </w:r>
          </w:p>
          <w:p w14:paraId="3FF01A43" w14:textId="4432508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2C4F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33EA80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6481F3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A37308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3CC65E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E1C796" w14:textId="2FC92CE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BB29A1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5F9BAE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6DF7344" w14:textId="69D15F0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555D21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4868B24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38B973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695629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AD24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D361CBC" w14:textId="636DE31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F931D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5C83D3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88419CA" w14:textId="38F2BBFC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A047DC" w:rsidRPr="00A047DC">
              <w:rPr>
                <w:rFonts w:ascii="Garamond" w:hAnsi="Garamond"/>
                <w:b/>
              </w:rPr>
              <w:t>. Aggiudicazione e contratto</w:t>
            </w:r>
          </w:p>
          <w:p w14:paraId="5EDE4D79" w14:textId="6D039F9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14EF4CD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5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D1207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C49E3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BD63AD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C15D0B" w14:textId="525B18E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01B639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583568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DE265DE" w14:textId="04BCA5D1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16AB02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F5362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67599C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2A319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E2AD8B9" w14:textId="349B3DE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CC8FC4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FC6B78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A9A98D5" w14:textId="19B896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7E61AE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18, commi 3 e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A26BC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D6FABB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49B30D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F0E828C" w14:textId="061A938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AB2FD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E01FD3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57C00CD" w14:textId="12FF2E8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1377FE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31B88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CA76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274994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381BC96" w14:textId="10AD467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2C854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1F044D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D5CDE16" w14:textId="6078E27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A047DC" w:rsidRPr="00A047DC">
              <w:rPr>
                <w:rFonts w:ascii="Garamond" w:hAnsi="Garamond"/>
                <w:b/>
              </w:rPr>
              <w:t>. Adempimenti finali e termine di durata complessiva</w:t>
            </w:r>
          </w:p>
          <w:p w14:paraId="0EC0AC11" w14:textId="375E8FE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095B2E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84, 85 e 111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9FC76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BA97AC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DB145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559C8CA" w14:textId="2E28D0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078B62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DD19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98EBE8F" w14:textId="255EA1F8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431397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F77131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475A0D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BB766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624AA1C" w14:textId="65A7C84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79EA99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A6C4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92C7D5E" w14:textId="3BD1C42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7AD2571C" w14:textId="78D4B428" w:rsidR="00A047DC" w:rsidRPr="00C84C14" w:rsidRDefault="00A047DC" w:rsidP="005612CA">
            <w:pPr>
              <w:rPr>
                <w:rFonts w:ascii="Garamond" w:hAnsi="Garamond"/>
                <w:i/>
                <w:iCs/>
              </w:rPr>
            </w:pPr>
            <w:r w:rsidRPr="00C84C14">
              <w:rPr>
                <w:rFonts w:ascii="Garamond" w:hAnsi="Garamond"/>
                <w:i/>
                <w:iCs/>
              </w:rPr>
              <w:t>(4 mesi nel caso di impiego del criterio dell’offerta economicamente più vantaggiosa, 3 mesi in caso di impiego del criterio del minor prezzo, salva proroga per verifica offerta anomala o su determinazione motivata RUP)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264D6D0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2191DD5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3</w:t>
            </w:r>
          </w:p>
          <w:p w14:paraId="73E4AB6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I.3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69101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606627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DED993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3FE54A9" w14:textId="62BA3E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F02ACA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314D9A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CC7C5BB" w14:textId="6D5F65A1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</w:t>
            </w:r>
            <w:r w:rsidR="00C84C14">
              <w:rPr>
                <w:rFonts w:ascii="Garamond" w:hAnsi="Garamond"/>
                <w:b/>
              </w:rPr>
              <w:t>0</w:t>
            </w:r>
            <w:r w:rsidRPr="00A047DC">
              <w:rPr>
                <w:rFonts w:ascii="Garamond" w:hAnsi="Garamond"/>
                <w:b/>
              </w:rPr>
              <w:t>. Tracciabilità</w:t>
            </w:r>
          </w:p>
          <w:p w14:paraId="36F95546" w14:textId="21DE506E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</w:t>
            </w:r>
            <w:r w:rsidR="00C84C14">
              <w:rPr>
                <w:rFonts w:ascii="Garamond" w:hAnsi="Garamond"/>
              </w:rPr>
              <w:t>0</w:t>
            </w:r>
            <w:r w:rsidRPr="00A047DC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493D11" w14:textId="6DDB5F3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A047DC" w:rsidRPr="00A047DC">
              <w:rPr>
                <w:rFonts w:ascii="Garamond" w:hAnsi="Garamond"/>
              </w:rPr>
              <w:t xml:space="preserve">rt. 3 l. </w:t>
            </w:r>
            <w:r>
              <w:rPr>
                <w:rFonts w:ascii="Garamond" w:hAnsi="Garamond"/>
              </w:rPr>
              <w:t xml:space="preserve">L. </w:t>
            </w:r>
            <w:r w:rsidR="00A047DC" w:rsidRPr="00A047DC">
              <w:rPr>
                <w:rFonts w:ascii="Garamond" w:hAnsi="Garamond"/>
              </w:rPr>
              <w:t>136/2010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2B87877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8C34B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CD1DB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9F2250D" w14:textId="3F1B425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98449E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</w:tbl>
    <w:p w14:paraId="05A8A949" w14:textId="0404C53C" w:rsidR="00A047DC" w:rsidRDefault="00A047DC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C8020C" w14:paraId="735C7921" w14:textId="77777777" w:rsidTr="005612CA">
        <w:tc>
          <w:tcPr>
            <w:tcW w:w="5000" w:type="pct"/>
            <w:shd w:val="clear" w:color="auto" w:fill="C6D9F1" w:themeFill="text2" w:themeFillTint="33"/>
          </w:tcPr>
          <w:p w14:paraId="30602447" w14:textId="77777777" w:rsidR="00C8020C" w:rsidRPr="00C441EA" w:rsidRDefault="00C8020C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8020C" w14:paraId="36F43CE6" w14:textId="77777777" w:rsidTr="005612CA">
        <w:trPr>
          <w:trHeight w:val="485"/>
        </w:trPr>
        <w:tc>
          <w:tcPr>
            <w:tcW w:w="5000" w:type="pct"/>
          </w:tcPr>
          <w:p w14:paraId="3D9FCFD0" w14:textId="77777777" w:rsidR="00C8020C" w:rsidRDefault="00C8020C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5D135754" w14:textId="77777777" w:rsidR="009051CE" w:rsidRDefault="009051CE" w:rsidP="009051C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9051CE" w:rsidRPr="00832D63" w14:paraId="625686D2" w14:textId="77777777" w:rsidTr="009051C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0A250E" w14:textId="77777777" w:rsidR="009051CE" w:rsidRPr="00832D63" w:rsidRDefault="009051CE" w:rsidP="005F27CA">
            <w:pPr>
              <w:rPr>
                <w:rFonts w:ascii="Garamond" w:hAnsi="Garamond" w:cs="Calibri"/>
                <w:b/>
                <w:bCs/>
              </w:rPr>
            </w:pPr>
            <w:bookmarkStart w:id="1" w:name="_GoBack"/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3C6760" w14:textId="77777777" w:rsidR="009051CE" w:rsidRPr="00832D63" w:rsidRDefault="009051CE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051CE" w:rsidRPr="00832D63" w14:paraId="06EDDB98" w14:textId="77777777" w:rsidTr="009051C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01EE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1F79D790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4F6976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218D858C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D490FBE" w14:textId="77777777" w:rsidR="009051CE" w:rsidRPr="00832D63" w:rsidRDefault="009051CE" w:rsidP="005F27CA">
            <w:pPr>
              <w:rPr>
                <w:rFonts w:ascii="Garamond" w:hAnsi="Garamond" w:cs="Calibri"/>
                <w:b/>
              </w:rPr>
            </w:pPr>
          </w:p>
        </w:tc>
      </w:tr>
      <w:bookmarkEnd w:id="1"/>
    </w:tbl>
    <w:p w14:paraId="787364E6" w14:textId="583C4D28" w:rsidR="00A047DC" w:rsidRDefault="00A047DC"/>
    <w:sectPr w:rsidR="00A047DC" w:rsidSect="00A047D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0F55D" w14:textId="77777777" w:rsidR="00D81D31" w:rsidRDefault="00D81D31" w:rsidP="006D1DCE">
      <w:pPr>
        <w:spacing w:after="0" w:line="240" w:lineRule="auto"/>
      </w:pPr>
      <w:r>
        <w:separator/>
      </w:r>
    </w:p>
  </w:endnote>
  <w:endnote w:type="continuationSeparator" w:id="0">
    <w:p w14:paraId="04560FAF" w14:textId="77777777" w:rsidR="00D81D31" w:rsidRDefault="00D81D31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985345"/>
      <w:docPartObj>
        <w:docPartGallery w:val="Page Numbers (Bottom of Page)"/>
        <w:docPartUnique/>
      </w:docPartObj>
    </w:sdtPr>
    <w:sdtEndPr/>
    <w:sdtContent>
      <w:p w14:paraId="64395307" w14:textId="4CF4B89B" w:rsidR="006D1DCE" w:rsidRDefault="00A047DC" w:rsidP="00A047D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C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EB0D4" w14:textId="77777777" w:rsidR="00D81D31" w:rsidRDefault="00D81D31" w:rsidP="006D1DCE">
      <w:pPr>
        <w:spacing w:after="0" w:line="240" w:lineRule="auto"/>
      </w:pPr>
      <w:r>
        <w:separator/>
      </w:r>
    </w:p>
  </w:footnote>
  <w:footnote w:type="continuationSeparator" w:id="0">
    <w:p w14:paraId="2B567EAA" w14:textId="77777777" w:rsidR="00D81D31" w:rsidRDefault="00D81D31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AC034" w14:textId="650500FC" w:rsidR="00D40B81" w:rsidRDefault="009051CE">
    <w:pPr>
      <w:pStyle w:val="Intestazione"/>
    </w:pPr>
    <w:r>
      <w:rPr>
        <w:noProof/>
      </w:rPr>
      <w:pict w14:anchorId="178BB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E37C0" w14:textId="77777777" w:rsidR="00A047DC" w:rsidRDefault="00A047DC" w:rsidP="00A047D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0DB9F77" wp14:editId="04814E7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1D9412" w14:textId="77777777" w:rsidR="00A047DC" w:rsidRDefault="00A047DC" w:rsidP="00A047DC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A047DC" w:rsidRPr="00E10375" w14:paraId="746913F2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DBF92C2" w14:textId="1E24F3D2" w:rsidR="00A047DC" w:rsidRPr="00A047DC" w:rsidRDefault="00A047DC" w:rsidP="00A047D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047DC">
            <w:rPr>
              <w:rFonts w:ascii="Garamond" w:hAnsi="Garamond"/>
              <w:i/>
              <w:sz w:val="20"/>
              <w:szCs w:val="20"/>
            </w:rPr>
            <w:t>11_PROCEDURA NEGOZIATA SENZA BANDO CHECK-LIST APPALTI VERS. 1.0</w:t>
          </w:r>
        </w:p>
        <w:p w14:paraId="7CEF6BF1" w14:textId="77777777" w:rsidR="00A047DC" w:rsidRPr="007C4D66" w:rsidRDefault="00A047DC" w:rsidP="00A047D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80CF6EA" w14:textId="0C8A1B96" w:rsidR="00A047DC" w:rsidRPr="00F8219F" w:rsidRDefault="00EA0EA5" w:rsidP="00A047D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99EC421" w14:textId="77777777" w:rsidR="00A047DC" w:rsidRPr="00A047DC" w:rsidRDefault="00A047DC" w:rsidP="00A047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CFF92" w14:textId="70DDABCB" w:rsidR="00D40B81" w:rsidRDefault="009051CE">
    <w:pPr>
      <w:pStyle w:val="Intestazione"/>
    </w:pPr>
    <w:r>
      <w:rPr>
        <w:noProof/>
      </w:rPr>
      <w:pict w14:anchorId="68E9E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115A38"/>
    <w:rsid w:val="00120705"/>
    <w:rsid w:val="00123422"/>
    <w:rsid w:val="00150CE1"/>
    <w:rsid w:val="00173604"/>
    <w:rsid w:val="001863A7"/>
    <w:rsid w:val="001A74EF"/>
    <w:rsid w:val="001D6432"/>
    <w:rsid w:val="001E27D0"/>
    <w:rsid w:val="00214BF6"/>
    <w:rsid w:val="00234EBD"/>
    <w:rsid w:val="00254555"/>
    <w:rsid w:val="0026098D"/>
    <w:rsid w:val="0029049F"/>
    <w:rsid w:val="00293806"/>
    <w:rsid w:val="002A6805"/>
    <w:rsid w:val="002C1238"/>
    <w:rsid w:val="003358BE"/>
    <w:rsid w:val="00342501"/>
    <w:rsid w:val="00354245"/>
    <w:rsid w:val="003F48EF"/>
    <w:rsid w:val="0047515F"/>
    <w:rsid w:val="00483D1F"/>
    <w:rsid w:val="004B6090"/>
    <w:rsid w:val="004E64CA"/>
    <w:rsid w:val="005837A4"/>
    <w:rsid w:val="00595A14"/>
    <w:rsid w:val="005A3F6D"/>
    <w:rsid w:val="005A6E68"/>
    <w:rsid w:val="005F4263"/>
    <w:rsid w:val="00601D92"/>
    <w:rsid w:val="00650CC7"/>
    <w:rsid w:val="006629D1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7788"/>
    <w:rsid w:val="00867EC1"/>
    <w:rsid w:val="008855B6"/>
    <w:rsid w:val="008B137C"/>
    <w:rsid w:val="008E1484"/>
    <w:rsid w:val="008F6F6A"/>
    <w:rsid w:val="009051CE"/>
    <w:rsid w:val="00932E59"/>
    <w:rsid w:val="009533B7"/>
    <w:rsid w:val="009D57B2"/>
    <w:rsid w:val="009D7ED3"/>
    <w:rsid w:val="00A047DC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96C50"/>
    <w:rsid w:val="00BF6B65"/>
    <w:rsid w:val="00C3338E"/>
    <w:rsid w:val="00C45E1E"/>
    <w:rsid w:val="00C7526F"/>
    <w:rsid w:val="00C8020C"/>
    <w:rsid w:val="00C84C14"/>
    <w:rsid w:val="00C87275"/>
    <w:rsid w:val="00C938D9"/>
    <w:rsid w:val="00CB19E6"/>
    <w:rsid w:val="00CE5091"/>
    <w:rsid w:val="00D06162"/>
    <w:rsid w:val="00D206D5"/>
    <w:rsid w:val="00D40B81"/>
    <w:rsid w:val="00D50BDC"/>
    <w:rsid w:val="00D535EB"/>
    <w:rsid w:val="00D81D31"/>
    <w:rsid w:val="00E57FC1"/>
    <w:rsid w:val="00EA0EA5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9972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10</cp:revision>
  <dcterms:created xsi:type="dcterms:W3CDTF">2024-01-18T16:48:00Z</dcterms:created>
  <dcterms:modified xsi:type="dcterms:W3CDTF">2024-09-03T13:57:00Z</dcterms:modified>
</cp:coreProperties>
</file>