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2675D" w14:textId="36B046AD" w:rsidR="00EE6EFA" w:rsidRDefault="00B919AE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773E56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773E56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773E56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p w14:paraId="23943C2E" w14:textId="77777777" w:rsidR="00083B1A" w:rsidRDefault="00083B1A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083B1A" w:rsidRPr="00832D63" w14:paraId="1C279CB9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CB8E88" w14:textId="77777777" w:rsidR="00083B1A" w:rsidRPr="00832D63" w:rsidRDefault="00083B1A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083B1A" w:rsidRPr="00832D63" w14:paraId="631C27CD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A38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707C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083B1A" w:rsidRPr="00832D63" w14:paraId="5F6D7629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CCBF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9D18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083B1A" w:rsidRPr="00832D63" w14:paraId="593ECECB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F7F0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5B07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083B1A" w:rsidRPr="00832D63" w14:paraId="795D3E16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24E0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8B22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083B1A" w:rsidRPr="00832D63" w14:paraId="03840F46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CEAD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7FEA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083B1A" w:rsidRPr="00832D63" w14:paraId="6717FCB0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AD0B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7D2D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083B1A" w:rsidRPr="00832D63" w14:paraId="0F3FF560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E7DF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1A1E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23B51CBF" w14:textId="77777777" w:rsidR="00083B1A" w:rsidRDefault="00083B1A" w:rsidP="00083B1A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083B1A" w:rsidRPr="007978C3" w14:paraId="67998F08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761CA00D" w14:textId="77777777" w:rsidR="00083B1A" w:rsidRPr="007978C3" w:rsidRDefault="00083B1A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43351CAA" w14:textId="77777777" w:rsidR="00083B1A" w:rsidRPr="007978C3" w:rsidRDefault="00083B1A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083B1A" w:rsidRPr="005777B2" w14:paraId="465FCB5C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079E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5DE67A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83B1A" w:rsidRPr="005777B2" w14:paraId="1F3941CA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957C5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79081E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83B1A" w:rsidRPr="002F1919" w14:paraId="12D28A35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A285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70B4BD" w14:textId="77777777" w:rsidR="00083B1A" w:rsidRPr="001F6932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083B1A" w:rsidRPr="007978C3" w14:paraId="59991C3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DB09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BC28F" w14:textId="77777777" w:rsidR="00083B1A" w:rsidRPr="001F6932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39A3BD12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083B1A" w:rsidRPr="007978C3" w14:paraId="7EA8CA5D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C75D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C17C5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83B1A" w:rsidRPr="007978C3" w14:paraId="6353BAB1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3DE9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BCB51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p w14:paraId="45965C3B" w14:textId="4F9DE526" w:rsidR="00083B1A" w:rsidRPr="00083B1A" w:rsidRDefault="00083B1A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776CC5A2" w14:textId="77777777" w:rsidR="00083B1A" w:rsidRPr="00083B1A" w:rsidRDefault="00083B1A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pPr w:leftFromText="141" w:rightFromText="141" w:vertAnchor="text" w:tblpY="1"/>
        <w:tblOverlap w:val="never"/>
        <w:tblW w:w="147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3"/>
        <w:gridCol w:w="1847"/>
        <w:gridCol w:w="462"/>
        <w:gridCol w:w="532"/>
        <w:gridCol w:w="561"/>
        <w:gridCol w:w="1985"/>
        <w:gridCol w:w="1417"/>
      </w:tblGrid>
      <w:tr w:rsidR="00B919AE" w:rsidRPr="00B919AE" w14:paraId="502FC1A9" w14:textId="77777777" w:rsidTr="00773E56">
        <w:trPr>
          <w:tblHeader/>
        </w:trPr>
        <w:tc>
          <w:tcPr>
            <w:tcW w:w="793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87B86E6" w14:textId="60A301FF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18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5F3184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55" w:type="dxa"/>
            <w:gridSpan w:val="3"/>
            <w:tcMar>
              <w:left w:w="57" w:type="dxa"/>
              <w:right w:w="57" w:type="dxa"/>
            </w:tcMar>
            <w:vAlign w:val="center"/>
          </w:tcPr>
          <w:p w14:paraId="50E888F5" w14:textId="26C98BC2" w:rsidR="00B919AE" w:rsidRPr="00B919AE" w:rsidRDefault="00B919AE" w:rsidP="0007348E">
            <w:pPr>
              <w:jc w:val="center"/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198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0D8F7E0" w14:textId="51E4C864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1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EAA23E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Note</w:t>
            </w:r>
          </w:p>
        </w:tc>
      </w:tr>
      <w:tr w:rsidR="00B919AE" w:rsidRPr="00B919AE" w14:paraId="3F7A0D1F" w14:textId="77777777" w:rsidTr="00773E56">
        <w:trPr>
          <w:tblHeader/>
        </w:trPr>
        <w:tc>
          <w:tcPr>
            <w:tcW w:w="7933" w:type="dxa"/>
            <w:vMerge/>
            <w:tcMar>
              <w:left w:w="57" w:type="dxa"/>
              <w:right w:w="57" w:type="dxa"/>
            </w:tcMar>
            <w:vAlign w:val="center"/>
          </w:tcPr>
          <w:p w14:paraId="2788DCC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847" w:type="dxa"/>
            <w:vMerge/>
            <w:tcMar>
              <w:left w:w="57" w:type="dxa"/>
              <w:right w:w="57" w:type="dxa"/>
            </w:tcMar>
            <w:vAlign w:val="center"/>
          </w:tcPr>
          <w:p w14:paraId="488A2FE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85CB5EA" w14:textId="54914400" w:rsidR="00B919AE" w:rsidRPr="00B919AE" w:rsidRDefault="00B919AE" w:rsidP="00B919AE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SI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7BBBBA9" w14:textId="5957C081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NO</w:t>
            </w: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81AFA5E" w14:textId="49A262DF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N.A.</w:t>
            </w:r>
          </w:p>
        </w:tc>
        <w:tc>
          <w:tcPr>
            <w:tcW w:w="1985" w:type="dxa"/>
            <w:vMerge/>
            <w:tcMar>
              <w:left w:w="57" w:type="dxa"/>
              <w:right w:w="57" w:type="dxa"/>
            </w:tcMar>
            <w:vAlign w:val="center"/>
          </w:tcPr>
          <w:p w14:paraId="5E03B5E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vMerge/>
            <w:tcMar>
              <w:left w:w="57" w:type="dxa"/>
              <w:right w:w="57" w:type="dxa"/>
            </w:tcMar>
            <w:vAlign w:val="center"/>
          </w:tcPr>
          <w:p w14:paraId="4F670D6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3C32547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325567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1. Presupposti</w:t>
            </w:r>
          </w:p>
          <w:p w14:paraId="5A723C6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1.1. La procedura è stata attivata in uno dei seguenti casi? (indicare la fattispecie)</w:t>
            </w:r>
          </w:p>
          <w:p w14:paraId="30F19FD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a) per l'aggiudicazione di contratti di lavori, forniture o servizi in presenza di una o più delle seguenti condizioni:</w:t>
            </w:r>
          </w:p>
          <w:p w14:paraId="408D2EE7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1) quando le esigenze della stazione appaltante perseguite con l'appalto non possono essere soddisfatte con le altre procedure;</w:t>
            </w:r>
          </w:p>
          <w:p w14:paraId="034D382D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2) quando le esigenze della stazione appaltante implicano soluzioni o progetti innovativi;</w:t>
            </w:r>
          </w:p>
          <w:p w14:paraId="4470CB2C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362F3300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 </w:t>
            </w:r>
          </w:p>
          <w:p w14:paraId="45C720A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b) per l'aggiudicazione di contratti di lavori, forniture o servizi per i quali, in esito a una procedura aperta o ristretta, sono state presentate soltanto offerte inammissibili</w:t>
            </w:r>
          </w:p>
          <w:p w14:paraId="13B5549D" w14:textId="08CCD40B" w:rsidR="00B919AE" w:rsidRPr="0007348E" w:rsidRDefault="00B919AE" w:rsidP="0007348E">
            <w:pPr>
              <w:rPr>
                <w:rFonts w:ascii="Garamond" w:hAnsi="Garamond"/>
                <w:i/>
              </w:rPr>
            </w:pPr>
            <w:r w:rsidRPr="0007348E">
              <w:rPr>
                <w:rFonts w:ascii="Garamond" w:hAnsi="Garamond"/>
                <w:i/>
              </w:rPr>
              <w:t xml:space="preserve">(N.B. in questo caso </w:t>
            </w:r>
            <w:r w:rsidR="0007348E" w:rsidRPr="0007348E">
              <w:rPr>
                <w:rFonts w:ascii="Garamond" w:hAnsi="Garamond"/>
                <w:i/>
              </w:rPr>
              <w:t>l</w:t>
            </w:r>
            <w:r w:rsidRPr="0007348E">
              <w:rPr>
                <w:rFonts w:ascii="Garamond" w:hAnsi="Garamond"/>
                <w:i/>
              </w:rPr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appalto).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2E7BCA3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70, comma 3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5E08E51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E3AAC0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235EBE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6495FAD" w14:textId="03DAF6A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F672B2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  <w:p w14:paraId="53EE9B28" w14:textId="77777777" w:rsidR="00B919AE" w:rsidRPr="00B919AE" w:rsidRDefault="00B919AE" w:rsidP="005612CA">
            <w:pPr>
              <w:jc w:val="right"/>
              <w:rPr>
                <w:rFonts w:ascii="Garamond" w:hAnsi="Garamond"/>
              </w:rPr>
            </w:pPr>
          </w:p>
        </w:tc>
      </w:tr>
      <w:tr w:rsidR="00B919AE" w:rsidRPr="00B919AE" w14:paraId="45FC0BE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079BCC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2. Consultazioni preliminari di mercato</w:t>
            </w:r>
          </w:p>
          <w:p w14:paraId="094D048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2.1 Sono state svolte, in modo regolare, le consultazioni preliminari di mercato? (facoltativo)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AB372DA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  <w:p w14:paraId="0149FDCD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E9A447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66E9E0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63FC1F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F415C67" w14:textId="69A767A3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982B23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C3A7D30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24CDA9F" w14:textId="4AC545BC" w:rsidR="00B919AE" w:rsidRPr="00B919AE" w:rsidRDefault="00B919AE" w:rsidP="0007348E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96BED6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C7ED0D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0585127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87FD8F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81DEAAC" w14:textId="6700105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EC08EF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1DBCC8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AE18F4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3. Specifiche tecniche ed etichettature</w:t>
            </w:r>
          </w:p>
          <w:p w14:paraId="4A416AE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3.1. Qualora negli atti di gara siano richieste o previste specifiche tecniche o etichettature, queste sono conformi a quanto prescritto?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AAF2C42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79-80</w:t>
            </w:r>
          </w:p>
          <w:p w14:paraId="3D41C1F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EBBAA8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A9FB03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56ED69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088D50E" w14:textId="2BB40D4C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C624AC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2D1012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842F44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lastRenderedPageBreak/>
              <w:t xml:space="preserve">4. Avviso di </w:t>
            </w:r>
            <w:proofErr w:type="spellStart"/>
            <w:r w:rsidRPr="00B919AE">
              <w:rPr>
                <w:rFonts w:ascii="Garamond" w:hAnsi="Garamond"/>
                <w:b/>
              </w:rPr>
              <w:t>pre</w:t>
            </w:r>
            <w:proofErr w:type="spellEnd"/>
            <w:r w:rsidRPr="00B919AE">
              <w:rPr>
                <w:rFonts w:ascii="Garamond" w:hAnsi="Garamond"/>
                <w:b/>
              </w:rPr>
              <w:t>-informazione</w:t>
            </w:r>
          </w:p>
          <w:p w14:paraId="0BA2CE7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4.1. Della procedura è stata data notizia nell’avviso di </w:t>
            </w:r>
            <w:proofErr w:type="spellStart"/>
            <w:r w:rsidRPr="00B919AE">
              <w:rPr>
                <w:rFonts w:ascii="Garamond" w:hAnsi="Garamond"/>
              </w:rPr>
              <w:t>pre</w:t>
            </w:r>
            <w:proofErr w:type="spellEnd"/>
            <w:r w:rsidRPr="00B919AE">
              <w:rPr>
                <w:rFonts w:ascii="Garamond" w:hAnsi="Garamond"/>
              </w:rPr>
              <w:t>-informazione dell’anno precedente, in conformità alle norme sulla relativa pubblicazione?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FD88B2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81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15FD0D5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C042E7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1CE28A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3DB378C" w14:textId="782BC26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BEECA3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E37E4C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725956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4.2. L’avviso di </w:t>
            </w:r>
            <w:proofErr w:type="spellStart"/>
            <w:r w:rsidRPr="00B919AE">
              <w:rPr>
                <w:rFonts w:ascii="Garamond" w:hAnsi="Garamond"/>
              </w:rPr>
              <w:t>pre</w:t>
            </w:r>
            <w:proofErr w:type="spellEnd"/>
            <w:r w:rsidRPr="00B919AE">
              <w:rPr>
                <w:rFonts w:ascii="Garamond" w:hAnsi="Garamond"/>
              </w:rPr>
              <w:t>-informazione è conforme ai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7E1434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81</w:t>
            </w:r>
          </w:p>
          <w:p w14:paraId="67DF7AE5" w14:textId="5AFF7027" w:rsidR="00B919AE" w:rsidRPr="00B919AE" w:rsidRDefault="00B919AE" w:rsidP="0007348E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II.6, Parte I, lett</w:t>
            </w:r>
            <w:r w:rsidR="0007348E">
              <w:rPr>
                <w:rFonts w:ascii="Garamond" w:hAnsi="Garamond"/>
              </w:rPr>
              <w:t>.</w:t>
            </w:r>
            <w:r w:rsidRPr="00B919AE">
              <w:rPr>
                <w:rFonts w:ascii="Garamond" w:hAnsi="Garamond"/>
              </w:rPr>
              <w:t xml:space="preserve"> A, lett</w:t>
            </w:r>
            <w:r w:rsidR="0007348E">
              <w:rPr>
                <w:rFonts w:ascii="Garamond" w:hAnsi="Garamond"/>
              </w:rPr>
              <w:t>.</w:t>
            </w:r>
            <w:r w:rsidRPr="00B919AE">
              <w:rPr>
                <w:rFonts w:ascii="Garamond" w:hAnsi="Garamond"/>
              </w:rPr>
              <w:t xml:space="preserve"> B, sezion</w:t>
            </w:r>
            <w:r w:rsidR="0007348E">
              <w:rPr>
                <w:rFonts w:ascii="Garamond" w:hAnsi="Garamond"/>
              </w:rPr>
              <w:t>i</w:t>
            </w:r>
            <w:r w:rsidRPr="00B919AE">
              <w:rPr>
                <w:rFonts w:ascii="Garamond" w:hAnsi="Garamond"/>
              </w:rPr>
              <w:t xml:space="preserve"> B.1</w:t>
            </w:r>
            <w:r w:rsidR="0007348E">
              <w:rPr>
                <w:rFonts w:ascii="Garamond" w:hAnsi="Garamond"/>
              </w:rPr>
              <w:t xml:space="preserve"> e</w:t>
            </w:r>
            <w:r w:rsidRPr="00B919AE">
              <w:rPr>
                <w:rFonts w:ascii="Garamond" w:hAnsi="Garamond"/>
              </w:rPr>
              <w:t xml:space="preserve"> B.2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37A9D8E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2F5FAA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3EE3BC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1FAF574" w14:textId="1CF9BDAC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3A724B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322C7F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14FB85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4.3. L’avviso di </w:t>
            </w:r>
            <w:proofErr w:type="spellStart"/>
            <w:r w:rsidRPr="00B919AE">
              <w:rPr>
                <w:rFonts w:ascii="Garamond" w:hAnsi="Garamond"/>
              </w:rPr>
              <w:t>pre</w:t>
            </w:r>
            <w:proofErr w:type="spellEnd"/>
            <w:r w:rsidRPr="00B919AE">
              <w:rPr>
                <w:rFonts w:ascii="Garamond" w:hAnsi="Garamond"/>
              </w:rPr>
              <w:t>-informazione è stato correttamente pubblicato?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A6102C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84-85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6B5811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EA9AFD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43287D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C250FB0" w14:textId="55777E3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4D7BAB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7BE7882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85EEFA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5. Documenti di gara</w:t>
            </w:r>
          </w:p>
          <w:p w14:paraId="03753914" w14:textId="2F91346A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5.1. Sono presenti il bando o avviso di gara, il disciplinare di gara e il capitolato speciale e le condizioni contrattuali proposte, o comunque il documento descrittivo delle esigenze?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31B6126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  <w:p w14:paraId="0C6AC11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67DE0AC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D771D7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1864AA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6212077" w14:textId="0191CD86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FE76A5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7E4A60A6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C5E7C3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FCFE0D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83</w:t>
            </w:r>
          </w:p>
          <w:p w14:paraId="74F134A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II.6</w:t>
            </w:r>
          </w:p>
          <w:p w14:paraId="647DCC5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916535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B1D35C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01ED0D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8873F76" w14:textId="27EB7CC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79A876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2C50A71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66AAA7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5.3. Il bando o avviso di gara è stato correttamente pubblicato?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51AF2F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84 e 85</w:t>
            </w:r>
          </w:p>
          <w:p w14:paraId="35E8F0F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470DC6B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8C7462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E06B97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8C4C08D" w14:textId="093F575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F1BA63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7FF5DB1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C2E3ED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5.4. Il disciplinare di gara presenta 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52D4A8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87</w:t>
            </w:r>
          </w:p>
          <w:p w14:paraId="3591962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D3B3AD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F68BFA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613F03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44CA1DE" w14:textId="4306C72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AEAAD1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BCD424A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ABA1F5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5.5. Il capitolato speciale presenta 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1508CB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87</w:t>
            </w:r>
          </w:p>
          <w:p w14:paraId="7A323E7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4931EB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03F725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ED8568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B0F2BD3" w14:textId="75F3A39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0111E8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E587B8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C74E68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5.6. I documenti di gara sono stati trasmessi e resi disponibili in modalità digitale?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BBC941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88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C8B434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18E2F2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64E5AF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59FCDDC" w14:textId="6C7CAEE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EA9421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617BE2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3873BC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60E71A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74, comma 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32A09E1" w14:textId="77777777" w:rsidR="00B919AE" w:rsidRPr="00B919AE" w:rsidRDefault="00B919AE" w:rsidP="005612CA">
            <w:pPr>
              <w:rPr>
                <w:rFonts w:ascii="Garamond" w:hAnsi="Garamond"/>
                <w:highlight w:val="yellow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0D223F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FB7E2C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EC9AEC9" w14:textId="07046C35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A43621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1F9B07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7E6291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5.8. Sono state comunicate in modo regolare e tempestivo le informazioni prescritte per candidati e offerenti?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3C44D0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CCBB307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6B787F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221039C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D9FD0D6" w14:textId="5C82D41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71B6B8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2B9BE16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2F4114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5.9. La stazione appaltante ha richiesto in modo regolare gli impegni agli offerenti?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847021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7291D6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9E74A6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0B4BB5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F58DBF8" w14:textId="63842CBA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EFB88B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35D885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ABE1C6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5.10. Sono state comunicate ammissioni ed esclusioni?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A5436B0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BC302A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E1BD98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BB72EA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348F511" w14:textId="1083649A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0EE5C7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6A1658A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645106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6. Domande di partecipazione e offerte</w:t>
            </w:r>
          </w:p>
          <w:p w14:paraId="5294321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lastRenderedPageBreak/>
              <w:t>6.1. I seguenti documenti sono stati compilati tramite la piattaforma digitale messa a disposizione dalla stazione appaltante e sono conformi ai requisiti prescritti?</w:t>
            </w:r>
          </w:p>
          <w:p w14:paraId="1A52660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a) la domanda di partecipazione;</w:t>
            </w:r>
          </w:p>
          <w:p w14:paraId="662049C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b) il documento di gara unico europeo;</w:t>
            </w:r>
          </w:p>
          <w:p w14:paraId="7FBAEBB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c) l'offerta;</w:t>
            </w:r>
          </w:p>
          <w:p w14:paraId="40F2EEC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2BF33D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lastRenderedPageBreak/>
              <w:t>Art.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C33A58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7047DC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E1C1E9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46111C5" w14:textId="5D868EA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AF3661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FF49E3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8C1346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</w:rPr>
              <w:t xml:space="preserve">6.2. Il termine fissato per la ricezione delle domande e delle offerte, comprese eventuali proroghe o deroghe, è conforme a quanto prescritto?  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704220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499E20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80336C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7D25BB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E81C419" w14:textId="67CDA8D2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34CAF7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01606C8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6671F3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6.3. Le domande di partecipazione e le offerte sono pervenute tempestivamente?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D255C6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D56593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B538F1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5ED5D7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4AA958A" w14:textId="3C14D2F2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F3785D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8D456C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80F0EB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6.4. Le domande di partecipazione e le offerte sono conformi ai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4B5013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EFD4AD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2177B0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D24D56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62BFC9C" w14:textId="7E285A80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0086A77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B8AD450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512E200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6.5.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074CBA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70,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6BB69618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0C42F4D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07168C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6A90649" w14:textId="391B1E9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D630A3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045CBA5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7FFEB1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6.6. Dopo la conclusione del dialogo, la stazione appaltante ha invitato ciascuno dei partecipanti rimanenti a presentare l'offerta finale sulla base della soluzione o delle soluzioni presentate e specificate nella fase del dialogo?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FEA85A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74, commi 5 e 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3164FA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28FAC6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7BF8ED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9F9A5EA" w14:textId="79CDD05E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95EADF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FF0469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0A2567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6.7. Nel corso del dialogo, la stazione appaltante ha invitato al dialogo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 dialogo, salvo espresso consenso di quest'ultimo e in relazione alle sole informazioni specifiche espressamente indicate?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EDB6DF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Artt. 70, comma 7, e 89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317788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BEFBD0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5E999B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6787372" w14:textId="3AD7050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5F1950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361F2CE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FD0655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6.8. È stata correttamente svolta la verifica di ammissibilità dell’offerta?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8CCC90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70, comma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349904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B0EBD6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9FD7A8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831A3A2" w14:textId="4DBBD59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35F202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7258B8CF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FAC92F0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6.9. È stata correttamente svolta la verifica sulle eventuali offerte anormalmente basse?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A8DF3A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52CA22AA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0A07FB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A67F97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FA0C666" w14:textId="4C51D512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5E80D7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C800019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0B6DAB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6.10. È stata correttamente verificata l’insussistenza di cause di esclusione automatica e di cause di esclusione non automatica?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1F10ED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94, 95, 97, 98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67D2698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2EA55F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656238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E282935" w14:textId="01D93F1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5C187B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229F1D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59094A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6.11. È stato correttamente applicato, se del caso, il procedimento di esclusione?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6A38EC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BA94667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4032FC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DBD152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7FEBCA7" w14:textId="319CF70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298275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140665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E2EEE7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lastRenderedPageBreak/>
              <w:t>6.12. È stata operata la verifica sui requisiti di ordine generale?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9800C2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99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05EE67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71BA51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F93422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3BB78B0" w14:textId="09E27445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A11A05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982445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EA22D4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6.13. È stata operata la verifica sui requisiti di ordine speciale?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EB006A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1FC639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FB1407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686165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A86D00E" w14:textId="5F5E7A4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0E8AEA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FC1493E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583C1F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6.14. È stato correttamente attivato, se del caso, il soccorso istruttorio?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AB5528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92C2CE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84B626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6B3A5D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6EC2AF25" w14:textId="2114D171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DC5FE8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84C02F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523BA12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6.15. È stata verificata l’attendibilità degli eventuali impegni assunti dall’aggiudicatario nell’offerta?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26A629C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F9D2D4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CB83ED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0772C4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BDDE36A" w14:textId="24EE992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A6A3A5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CB0AC8F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71B0A9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6.16. Le offerte sono accompagnate dalla garanzia provvisoria e questa è conforme a quanto prescritto?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371E73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106 e 117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3BF46A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AB9D73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B46810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C0728B3" w14:textId="26EADDAA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9B12A4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D7417AA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0D8A29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6.17. Nel caso di avvalimento, è stato acquisito il relativo contratto e sono stati verificati i requisiti ed elementi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1E2875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A6F2AF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1315EA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2FD13E3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5D0F498" w14:textId="7AD09AD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C44260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C3D1A6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9BC99E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 xml:space="preserve">7. Commissione giudicatrice </w:t>
            </w:r>
          </w:p>
          <w:p w14:paraId="236998F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7.1. È stata costituita la commissione giudicatrice dopo la scadenza del termine di presentazione delle offerte?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251D6E2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518B49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A009A5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E68FEA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FD636C4" w14:textId="094D880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7FFD28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61CAEE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F2BB212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7.2.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A5B3AA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58E5D18A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BB902F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1E9BAA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3A46FCE" w14:textId="1CFF86F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661EF0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9F7E6D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56F6E7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7.3.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EEDF08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93, comma 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93112FB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27589C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2E7AFD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AB1F9FB" w14:textId="4EA9607E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08CFE10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2B14FE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6607DA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8. Criterio di aggiudicazione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EC179E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108</w:t>
            </w:r>
          </w:p>
          <w:p w14:paraId="3F6EBE5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689735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022071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4F7529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2199E21" w14:textId="1D51C4C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BD4183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B24DBC3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753B9B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8.1. È stato adottato il criterio dell’offerta economicamente più vantaggiosa (unico possibile) e i criteri sono conformi a quanto prescritto?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208AF65" w14:textId="225E06E0" w:rsidR="00B919AE" w:rsidRPr="00B919AE" w:rsidRDefault="0007348E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Artt. 74, co.</w:t>
            </w:r>
            <w:r w:rsidR="00B919AE" w:rsidRPr="00B919AE">
              <w:rPr>
                <w:rFonts w:ascii="Garamond" w:hAnsi="Garamond"/>
              </w:rPr>
              <w:t xml:space="preserve"> 3, e 108</w:t>
            </w:r>
          </w:p>
          <w:p w14:paraId="623D909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6EE0644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EC2748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6C9AA8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1737120" w14:textId="7F29846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4C7AC2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B59EA76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00FC87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9. Aggiudicazione e contratto</w:t>
            </w:r>
          </w:p>
          <w:p w14:paraId="788B5EF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9.1. È presente la proposta di aggiudicazione e sono stati correttamente applicati i criteri e requisiti di aggiudicazione? 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5C717B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17, comma 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1E614B6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20C387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757543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2B5514D" w14:textId="319EE22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0FCBFE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746D5D9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38494E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9.2. Il provvedimento di aggiudicazione è stato regolarmente comunicato? 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05101D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EC0571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61CE4F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D2231A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3DAF4B7" w14:textId="2C470F4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01EAC9A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7B477F0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386B8E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9.3. Il contratto è stato stipulato decorsi i termini dilatori prescritti o sussiste una causa legittima di deroga?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2715DC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18, commi 3 e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2284510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4D3F09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DBF1F2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DEE2425" w14:textId="63D8584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3ED752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07A318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16A2E6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9.4. Il contratto è stato stipulato nelle forme, con i contenuti e nei tempi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1839ED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1720530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A180A5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F752D3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E3DBCCF" w14:textId="281B6EC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18117C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3CE93A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ACB6BD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lastRenderedPageBreak/>
              <w:t>10. Adempimenti finali e termine di durata complessiva</w:t>
            </w:r>
          </w:p>
          <w:p w14:paraId="38F45EA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10.1. È stato correttamente pubblicato l’avviso di aggiudicazione dell’appalto?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1E1420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84, 85 e 111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9AEFA50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527AF0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262CAE2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8C57488" w14:textId="0D558DC6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A1431F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2CADB0F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704026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10.2. È stata predisposta la relazione unica sulla procedura di aggiudicazione degli appalti, a conclusione della procedura?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FDC155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112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92C474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777136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4B8F2D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2B68AE9" w14:textId="1B2139F3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FFC07F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EBC8A65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92A7A70" w14:textId="0AEE9AD7" w:rsidR="00B919AE" w:rsidRPr="00B919AE" w:rsidRDefault="00B919AE" w:rsidP="0007348E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10.3. La durata complessiva della procedura è conforme al termine massimo prescritto? (7 mesi)?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2EBE7B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17, comma 3</w:t>
            </w:r>
          </w:p>
          <w:p w14:paraId="3F25553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I.3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642CA8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AFFD6E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F428C9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B5FF1E3" w14:textId="2648506F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ACF535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905D12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216061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11. Tracciabilità</w:t>
            </w:r>
          </w:p>
          <w:p w14:paraId="51F5033D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11.1.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F8A154D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3 l. 136/2010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F5FF228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933740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D8C173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ED9B171" w14:textId="7719382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078E56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</w:tbl>
    <w:p w14:paraId="715FD1F7" w14:textId="77777777" w:rsidR="0007348E" w:rsidRDefault="0007348E" w:rsidP="0007348E"/>
    <w:tbl>
      <w:tblPr>
        <w:tblStyle w:val="Grigliatabella"/>
        <w:tblW w:w="4978" w:type="pct"/>
        <w:tblLook w:val="04A0" w:firstRow="1" w:lastRow="0" w:firstColumn="1" w:lastColumn="0" w:noHBand="0" w:noVBand="1"/>
      </w:tblPr>
      <w:tblGrid>
        <w:gridCol w:w="14721"/>
      </w:tblGrid>
      <w:tr w:rsidR="0007348E" w14:paraId="16C6700F" w14:textId="77777777" w:rsidTr="003F7DA3">
        <w:tc>
          <w:tcPr>
            <w:tcW w:w="5000" w:type="pct"/>
            <w:shd w:val="clear" w:color="auto" w:fill="C6D9F1" w:themeFill="text2" w:themeFillTint="33"/>
          </w:tcPr>
          <w:p w14:paraId="0406DFDA" w14:textId="77777777" w:rsidR="0007348E" w:rsidRPr="00C441EA" w:rsidRDefault="0007348E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07348E" w14:paraId="1DD6A3EE" w14:textId="77777777" w:rsidTr="003F7DA3">
        <w:trPr>
          <w:trHeight w:val="485"/>
        </w:trPr>
        <w:tc>
          <w:tcPr>
            <w:tcW w:w="5000" w:type="pct"/>
          </w:tcPr>
          <w:p w14:paraId="55C5BC53" w14:textId="77777777" w:rsidR="0007348E" w:rsidRDefault="0007348E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3456C5A2" w14:textId="7E70B07E" w:rsidR="00083B1A" w:rsidRDefault="00083B1A"/>
    <w:tbl>
      <w:tblPr>
        <w:tblpPr w:leftFromText="141" w:rightFromText="141" w:vertAnchor="text" w:horzAnchor="page" w:tblpX="1103" w:tblpY="25"/>
        <w:tblW w:w="495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9"/>
        <w:gridCol w:w="7916"/>
      </w:tblGrid>
      <w:tr w:rsidR="00083B1A" w:rsidRPr="00832D63" w14:paraId="3186ECDC" w14:textId="77777777" w:rsidTr="003F7DA3">
        <w:trPr>
          <w:trHeight w:val="495"/>
        </w:trPr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63409E" w14:textId="77777777" w:rsidR="00083B1A" w:rsidRPr="00832D63" w:rsidRDefault="00083B1A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B2C045" w14:textId="77777777" w:rsidR="00083B1A" w:rsidRPr="00832D63" w:rsidRDefault="00083B1A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083B1A" w:rsidRPr="00832D63" w14:paraId="37E7666F" w14:textId="77777777" w:rsidTr="003F7DA3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8CF0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5AE0A4EF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7724452E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457EE62E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30513EEA" w14:textId="77777777" w:rsidR="00083B1A" w:rsidRPr="00832D63" w:rsidRDefault="00083B1A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442FBC9F" w14:textId="77777777" w:rsidR="00083B1A" w:rsidRDefault="00083B1A"/>
    <w:sectPr w:rsidR="00083B1A" w:rsidSect="00B919AE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96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0DE5B" w14:textId="77777777" w:rsidR="00C86517" w:rsidRDefault="00C86517" w:rsidP="009E4AEB">
      <w:pPr>
        <w:spacing w:after="0" w:line="240" w:lineRule="auto"/>
      </w:pPr>
      <w:r>
        <w:separator/>
      </w:r>
    </w:p>
  </w:endnote>
  <w:endnote w:type="continuationSeparator" w:id="0">
    <w:p w14:paraId="4E3D99CD" w14:textId="77777777" w:rsidR="00C86517" w:rsidRDefault="00C86517" w:rsidP="009E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8828830"/>
      <w:docPartObj>
        <w:docPartGallery w:val="Page Numbers (Bottom of Page)"/>
        <w:docPartUnique/>
      </w:docPartObj>
    </w:sdtPr>
    <w:sdtContent>
      <w:p w14:paraId="4F6AF51B" w14:textId="6EDE0F53" w:rsidR="00842622" w:rsidRDefault="00B919AE" w:rsidP="00B919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DA3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B1C6A" w14:textId="77777777" w:rsidR="00C86517" w:rsidRDefault="00C86517" w:rsidP="009E4AEB">
      <w:pPr>
        <w:spacing w:after="0" w:line="240" w:lineRule="auto"/>
      </w:pPr>
      <w:r>
        <w:separator/>
      </w:r>
    </w:p>
  </w:footnote>
  <w:footnote w:type="continuationSeparator" w:id="0">
    <w:p w14:paraId="6885CF5B" w14:textId="77777777" w:rsidR="00C86517" w:rsidRDefault="00C86517" w:rsidP="009E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5C807" w14:textId="18C87D82" w:rsidR="00842622" w:rsidRDefault="00000000">
    <w:pPr>
      <w:pStyle w:val="Intestazione"/>
    </w:pPr>
    <w:r>
      <w:rPr>
        <w:noProof/>
      </w:rPr>
      <w:pict w14:anchorId="785CBC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6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11926" w14:textId="77777777" w:rsidR="00B919AE" w:rsidRDefault="00B919AE" w:rsidP="00B919AE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388FD0A5" wp14:editId="00441B9F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AEAA9C" w14:textId="77777777" w:rsidR="00B919AE" w:rsidRDefault="00B919AE" w:rsidP="00B919AE">
    <w:pPr>
      <w:pStyle w:val="Intestazione"/>
      <w:rPr>
        <w:rFonts w:ascii="Arial" w:hAnsi="Arial"/>
        <w:sz w:val="20"/>
      </w:rPr>
    </w:pPr>
  </w:p>
  <w:tbl>
    <w:tblPr>
      <w:tblW w:w="14756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56"/>
    </w:tblGrid>
    <w:tr w:rsidR="00B919AE" w:rsidRPr="00E10375" w14:paraId="0A3D7C3A" w14:textId="77777777" w:rsidTr="00B919AE">
      <w:trPr>
        <w:trHeight w:val="703"/>
      </w:trPr>
      <w:tc>
        <w:tcPr>
          <w:tcW w:w="14756" w:type="dxa"/>
          <w:shd w:val="clear" w:color="auto" w:fill="auto"/>
          <w:vAlign w:val="center"/>
        </w:tcPr>
        <w:p w14:paraId="6FD3FA69" w14:textId="038B5F2E" w:rsidR="00B919AE" w:rsidRPr="00FB2774" w:rsidRDefault="00B919AE" w:rsidP="00B919AE">
          <w:pPr>
            <w:spacing w:after="0" w:line="240" w:lineRule="auto"/>
            <w:jc w:val="right"/>
            <w:rPr>
              <w:rFonts w:ascii="Garamond" w:hAnsi="Garamond"/>
              <w:i/>
              <w:sz w:val="20"/>
              <w:szCs w:val="20"/>
            </w:rPr>
          </w:pPr>
          <w:r w:rsidRPr="00B919AE">
            <w:rPr>
              <w:rFonts w:ascii="Garamond" w:hAnsi="Garamond"/>
              <w:i/>
              <w:sz w:val="20"/>
              <w:szCs w:val="20"/>
            </w:rPr>
            <w:t>9_ PROCEDURA DIALOGO COMPETITIVO_CHECK-LIST</w:t>
          </w:r>
          <w:r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B919AE">
            <w:rPr>
              <w:rFonts w:ascii="Garamond" w:hAnsi="Garamond"/>
              <w:i/>
              <w:sz w:val="20"/>
              <w:szCs w:val="20"/>
            </w:rPr>
            <w:t>APPALTI</w:t>
          </w:r>
          <w:r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B919AE">
            <w:rPr>
              <w:rFonts w:ascii="Garamond" w:hAnsi="Garamond"/>
              <w:i/>
              <w:sz w:val="20"/>
              <w:szCs w:val="20"/>
            </w:rPr>
            <w:t>VERS. 1.0</w:t>
          </w:r>
        </w:p>
        <w:p w14:paraId="323A82E2" w14:textId="77777777" w:rsidR="00B919AE" w:rsidRPr="007C4D66" w:rsidRDefault="00B919AE" w:rsidP="00B919AE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09BBF1F2" w14:textId="63360B62" w:rsidR="00B919AE" w:rsidRPr="00F8219F" w:rsidRDefault="00083B1A" w:rsidP="00B919AE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4E4E223C" w14:textId="77777777" w:rsidR="00B919AE" w:rsidRDefault="00B919A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5D30" w14:textId="78518CF8" w:rsidR="00842622" w:rsidRDefault="00000000">
    <w:pPr>
      <w:pStyle w:val="Intestazione"/>
    </w:pPr>
    <w:r>
      <w:rPr>
        <w:noProof/>
      </w:rPr>
      <w:pict w14:anchorId="627D34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5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64654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23CFF"/>
    <w:rsid w:val="00024B85"/>
    <w:rsid w:val="00050E08"/>
    <w:rsid w:val="0005307C"/>
    <w:rsid w:val="000539DC"/>
    <w:rsid w:val="00054D21"/>
    <w:rsid w:val="00056F2C"/>
    <w:rsid w:val="0007348E"/>
    <w:rsid w:val="00083B1A"/>
    <w:rsid w:val="00094807"/>
    <w:rsid w:val="000B2DCE"/>
    <w:rsid w:val="00123422"/>
    <w:rsid w:val="001258AF"/>
    <w:rsid w:val="00150CE1"/>
    <w:rsid w:val="0017302B"/>
    <w:rsid w:val="001863A7"/>
    <w:rsid w:val="001B2D6E"/>
    <w:rsid w:val="001C230E"/>
    <w:rsid w:val="001C2DCD"/>
    <w:rsid w:val="001D6432"/>
    <w:rsid w:val="001F3439"/>
    <w:rsid w:val="0020190B"/>
    <w:rsid w:val="0026098D"/>
    <w:rsid w:val="0029049F"/>
    <w:rsid w:val="00293806"/>
    <w:rsid w:val="002A03F9"/>
    <w:rsid w:val="002A6805"/>
    <w:rsid w:val="002C1238"/>
    <w:rsid w:val="002F7267"/>
    <w:rsid w:val="003358BE"/>
    <w:rsid w:val="00342501"/>
    <w:rsid w:val="00354245"/>
    <w:rsid w:val="0038447C"/>
    <w:rsid w:val="003B0BDB"/>
    <w:rsid w:val="003F7DA3"/>
    <w:rsid w:val="00481221"/>
    <w:rsid w:val="00483D1F"/>
    <w:rsid w:val="00497C0D"/>
    <w:rsid w:val="004A1A4E"/>
    <w:rsid w:val="004D2D44"/>
    <w:rsid w:val="005837A4"/>
    <w:rsid w:val="00591962"/>
    <w:rsid w:val="005F2AA7"/>
    <w:rsid w:val="005F4263"/>
    <w:rsid w:val="00601D92"/>
    <w:rsid w:val="006629D1"/>
    <w:rsid w:val="00677D14"/>
    <w:rsid w:val="00697BD9"/>
    <w:rsid w:val="006F3FC6"/>
    <w:rsid w:val="0070197B"/>
    <w:rsid w:val="007405DF"/>
    <w:rsid w:val="00760B1C"/>
    <w:rsid w:val="0076709B"/>
    <w:rsid w:val="00773E56"/>
    <w:rsid w:val="007D126A"/>
    <w:rsid w:val="007D16CB"/>
    <w:rsid w:val="007E320A"/>
    <w:rsid w:val="00820321"/>
    <w:rsid w:val="0083449F"/>
    <w:rsid w:val="00842622"/>
    <w:rsid w:val="00856773"/>
    <w:rsid w:val="00867EC1"/>
    <w:rsid w:val="008B137C"/>
    <w:rsid w:val="008B49E0"/>
    <w:rsid w:val="008F6F6A"/>
    <w:rsid w:val="00932E59"/>
    <w:rsid w:val="009C7CFE"/>
    <w:rsid w:val="009D57B2"/>
    <w:rsid w:val="009D7ED3"/>
    <w:rsid w:val="009E4AEB"/>
    <w:rsid w:val="009F6477"/>
    <w:rsid w:val="00A74729"/>
    <w:rsid w:val="00A81BDC"/>
    <w:rsid w:val="00AB526A"/>
    <w:rsid w:val="00B42F29"/>
    <w:rsid w:val="00B4713B"/>
    <w:rsid w:val="00B51793"/>
    <w:rsid w:val="00B61B3A"/>
    <w:rsid w:val="00B66ECB"/>
    <w:rsid w:val="00B717A2"/>
    <w:rsid w:val="00B755AD"/>
    <w:rsid w:val="00B919AE"/>
    <w:rsid w:val="00BA6080"/>
    <w:rsid w:val="00C7526F"/>
    <w:rsid w:val="00C84314"/>
    <w:rsid w:val="00C86517"/>
    <w:rsid w:val="00C87275"/>
    <w:rsid w:val="00C938D9"/>
    <w:rsid w:val="00CB19E6"/>
    <w:rsid w:val="00CE3DF6"/>
    <w:rsid w:val="00CE5091"/>
    <w:rsid w:val="00D06162"/>
    <w:rsid w:val="00D50BDC"/>
    <w:rsid w:val="00D64991"/>
    <w:rsid w:val="00D96FC4"/>
    <w:rsid w:val="00E025EB"/>
    <w:rsid w:val="00E53D79"/>
    <w:rsid w:val="00E57FC1"/>
    <w:rsid w:val="00E80E56"/>
    <w:rsid w:val="00EA550E"/>
    <w:rsid w:val="00EB07FD"/>
    <w:rsid w:val="00EB5315"/>
    <w:rsid w:val="00EC0FCD"/>
    <w:rsid w:val="00EC49FC"/>
    <w:rsid w:val="00ED7228"/>
    <w:rsid w:val="00EE6EFA"/>
    <w:rsid w:val="00EF62F9"/>
    <w:rsid w:val="00F00618"/>
    <w:rsid w:val="00F1607E"/>
    <w:rsid w:val="00F3153E"/>
    <w:rsid w:val="00F371A2"/>
    <w:rsid w:val="00F8596F"/>
    <w:rsid w:val="00F97376"/>
    <w:rsid w:val="00FA62E6"/>
    <w:rsid w:val="00FB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25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AEB"/>
  </w:style>
  <w:style w:type="paragraph" w:styleId="Pidipagina">
    <w:name w:val="footer"/>
    <w:basedOn w:val="Normale"/>
    <w:link w:val="Pidipagina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1659</Words>
  <Characters>9461</Characters>
  <Application>Microsoft Office Word</Application>
  <DocSecurity>0</DocSecurity>
  <Lines>78</Lines>
  <Paragraphs>22</Paragraphs>
  <ScaleCrop>false</ScaleCrop>
  <Company/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2025-05-28T08:38:00Z</dcterms:created>
  <dcterms:modified xsi:type="dcterms:W3CDTF">2025-05-28T08:38:00Z</dcterms:modified>
</cp:coreProperties>
</file>